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5996" w:rsidRDefault="00000000">
      <w:pPr>
        <w:pStyle w:val="Sansinterligne"/>
        <w:jc w:val="both"/>
        <w:rPr>
          <w:rFonts w:ascii="Times New Roman" w:hAnsi="Times New Roman" w:cs="Times New Roman"/>
          <w:b/>
          <w:bCs/>
          <w:sz w:val="24"/>
          <w:szCs w:val="24"/>
        </w:rPr>
      </w:pPr>
      <w:r>
        <w:rPr>
          <w:rFonts w:ascii="Times New Roman" w:hAnsi="Times New Roman" w:cs="Times New Roman"/>
          <w:b/>
          <w:bCs/>
          <w:sz w:val="24"/>
          <w:szCs w:val="24"/>
        </w:rPr>
        <w:t xml:space="preserve">Appel à communications </w:t>
      </w:r>
      <w:r>
        <w:rPr>
          <w:rFonts w:ascii="Times New Roman" w:hAnsi="Times New Roman" w:cs="Times New Roman"/>
          <w:b/>
          <w:bCs/>
          <w:i/>
          <w:iCs/>
          <w:sz w:val="24"/>
          <w:szCs w:val="24"/>
        </w:rPr>
        <w:t xml:space="preserve">Journal of Energy </w:t>
      </w:r>
      <w:proofErr w:type="spellStart"/>
      <w:r>
        <w:rPr>
          <w:rFonts w:ascii="Times New Roman" w:hAnsi="Times New Roman" w:cs="Times New Roman"/>
          <w:b/>
          <w:bCs/>
          <w:i/>
          <w:iCs/>
          <w:sz w:val="24"/>
          <w:szCs w:val="24"/>
        </w:rPr>
        <w:t>History</w:t>
      </w:r>
      <w:proofErr w:type="spellEnd"/>
      <w:r>
        <w:rPr>
          <w:rFonts w:ascii="Times New Roman" w:hAnsi="Times New Roman" w:cs="Times New Roman"/>
          <w:b/>
          <w:bCs/>
          <w:i/>
          <w:i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b/>
          <w:bCs/>
          <w:i/>
          <w:iCs/>
          <w:sz w:val="24"/>
          <w:szCs w:val="24"/>
        </w:rPr>
        <w:t>Revue d’histoire de l’énergie</w:t>
      </w:r>
    </w:p>
    <w:p w:rsidR="006E5996" w:rsidRDefault="006E5996">
      <w:pPr>
        <w:pStyle w:val="Sansinterligne"/>
        <w:jc w:val="both"/>
        <w:rPr>
          <w:rFonts w:ascii="Times New Roman" w:hAnsi="Times New Roman" w:cs="Times New Roman"/>
          <w:b/>
          <w:bCs/>
          <w:sz w:val="24"/>
          <w:szCs w:val="24"/>
        </w:rPr>
      </w:pPr>
    </w:p>
    <w:p w:rsidR="006E5996" w:rsidRDefault="006E5996">
      <w:pPr>
        <w:pStyle w:val="Sansinterligne"/>
        <w:jc w:val="both"/>
        <w:rPr>
          <w:rFonts w:ascii="Times New Roman" w:hAnsi="Times New Roman" w:cs="Times New Roman"/>
          <w:b/>
          <w:bCs/>
          <w:sz w:val="24"/>
          <w:szCs w:val="24"/>
        </w:rPr>
      </w:pPr>
    </w:p>
    <w:p w:rsidR="006E5996" w:rsidRDefault="00000000">
      <w:pPr>
        <w:pStyle w:val="Sansinterligne"/>
        <w:jc w:val="center"/>
        <w:rPr>
          <w:rFonts w:ascii="Times New Roman" w:hAnsi="Times New Roman" w:cs="Times New Roman"/>
          <w:b/>
          <w:bCs/>
          <w:sz w:val="24"/>
          <w:szCs w:val="24"/>
        </w:rPr>
      </w:pPr>
      <w:r>
        <w:rPr>
          <w:rFonts w:ascii="Times New Roman" w:hAnsi="Times New Roman" w:cs="Times New Roman"/>
          <w:b/>
          <w:bCs/>
          <w:sz w:val="24"/>
          <w:szCs w:val="24"/>
        </w:rPr>
        <w:t>Crises, catastrophes et désescalade énergétique</w:t>
      </w:r>
    </w:p>
    <w:p w:rsidR="006E5996" w:rsidRDefault="006E5996">
      <w:pPr>
        <w:pStyle w:val="Sansinterligne"/>
        <w:rPr>
          <w:rFonts w:ascii="Times New Roman" w:hAnsi="Times New Roman" w:cs="Times New Roman"/>
          <w:b/>
          <w:bCs/>
          <w:sz w:val="24"/>
          <w:szCs w:val="24"/>
        </w:rPr>
      </w:pPr>
    </w:p>
    <w:p w:rsidR="006E5996" w:rsidRDefault="006E5996">
      <w:pPr>
        <w:pStyle w:val="Sansinterligne"/>
        <w:rPr>
          <w:rFonts w:ascii="Times New Roman" w:hAnsi="Times New Roman" w:cs="Times New Roman"/>
          <w:b/>
          <w:bCs/>
          <w:sz w:val="24"/>
          <w:szCs w:val="24"/>
        </w:rPr>
      </w:pPr>
    </w:p>
    <w:p w:rsidR="006E5996" w:rsidRDefault="006E5996">
      <w:pPr>
        <w:pStyle w:val="Sansinterligne"/>
        <w:rPr>
          <w:rFonts w:ascii="Times New Roman" w:hAnsi="Times New Roman" w:cs="Times New Roman"/>
          <w:sz w:val="24"/>
          <w:szCs w:val="24"/>
        </w:rPr>
      </w:pPr>
    </w:p>
    <w:p w:rsidR="006E5996" w:rsidRDefault="00000000">
      <w:pPr>
        <w:pStyle w:val="Sansinterligne"/>
        <w:jc w:val="both"/>
        <w:rPr>
          <w:rFonts w:ascii="Times New Roman" w:hAnsi="Times New Roman" w:cs="Times New Roman"/>
          <w:sz w:val="24"/>
          <w:szCs w:val="24"/>
        </w:rPr>
      </w:pPr>
      <w:r>
        <w:rPr>
          <w:rFonts w:ascii="Times New Roman" w:hAnsi="Times New Roman" w:cs="Times New Roman"/>
          <w:sz w:val="24"/>
          <w:szCs w:val="24"/>
        </w:rPr>
        <w:tab/>
        <w:t xml:space="preserve">Ce dossier de la </w:t>
      </w:r>
      <w:r>
        <w:rPr>
          <w:rFonts w:ascii="Times New Roman" w:hAnsi="Times New Roman" w:cs="Times New Roman"/>
          <w:i/>
          <w:iCs/>
          <w:sz w:val="24"/>
          <w:szCs w:val="24"/>
        </w:rPr>
        <w:t>Revue d’histoire de l’énergie</w:t>
      </w:r>
      <w:r>
        <w:rPr>
          <w:rFonts w:ascii="Times New Roman" w:hAnsi="Times New Roman" w:cs="Times New Roman"/>
          <w:sz w:val="24"/>
          <w:szCs w:val="24"/>
        </w:rPr>
        <w:t xml:space="preserve"> se propose d’explorer la façon dont les crises et les catastrophes remodèlent notre rapport à l’énergie et comment celles-ci peuvent ou non faire entrer les sociétés sur la voie d’une désescalade énergétique. Par </w:t>
      </w:r>
      <w:r>
        <w:rPr>
          <w:rFonts w:ascii="Times New Roman" w:hAnsi="Times New Roman" w:cs="Times New Roman"/>
          <w:i/>
          <w:iCs/>
          <w:sz w:val="24"/>
          <w:szCs w:val="24"/>
        </w:rPr>
        <w:t>désescalade</w:t>
      </w:r>
      <w:r>
        <w:rPr>
          <w:rFonts w:ascii="Times New Roman" w:hAnsi="Times New Roman" w:cs="Times New Roman"/>
          <w:sz w:val="24"/>
          <w:szCs w:val="24"/>
        </w:rPr>
        <w:t>, on entend un cheminement, pris ici dans une dimension brutale et rapide, vers des systèmes énergétiques de faibles puissances et vers des modes de consommation et de productions énergétiques axés vers davantage de sobriété. Crises et catastrophes engendrent des bouleversements qui font que l’énergie n’est plus immédiatement disponible et que les flux énergétiques sont entravés. Les sociétés peuvent alors se tourner vers des solutions à basse technicité et vers des systèmes énergétiques alternatifs aux systèmes antérieurement dominants. Quelles solutions énergétiques s’avèrent alors possibles pour maintenir la vie quotidienne ? Quel devenir pour les réseaux énergétiques ? Quelles sont les contraintes et les nouveaux possibles qui s’ouvrent en faisant avec moins d’énergie ?</w:t>
      </w:r>
    </w:p>
    <w:p w:rsidR="006E5996" w:rsidRDefault="006E5996">
      <w:pPr>
        <w:pStyle w:val="Sansinterligne"/>
        <w:jc w:val="both"/>
        <w:rPr>
          <w:rFonts w:ascii="Times New Roman" w:hAnsi="Times New Roman" w:cs="Times New Roman"/>
          <w:sz w:val="24"/>
          <w:szCs w:val="24"/>
        </w:rPr>
      </w:pPr>
    </w:p>
    <w:p w:rsidR="006E5996" w:rsidRDefault="00000000">
      <w:pPr>
        <w:pStyle w:val="Sansinterligne"/>
        <w:jc w:val="both"/>
        <w:rPr>
          <w:rFonts w:ascii="Times New Roman" w:hAnsi="Times New Roman" w:cs="Times New Roman"/>
          <w:sz w:val="24"/>
          <w:szCs w:val="24"/>
        </w:rPr>
      </w:pPr>
      <w:r>
        <w:rPr>
          <w:rFonts w:ascii="Times New Roman" w:hAnsi="Times New Roman" w:cs="Times New Roman"/>
          <w:sz w:val="24"/>
          <w:szCs w:val="24"/>
        </w:rPr>
        <w:tab/>
        <w:t xml:space="preserve">Le numéro se propose de réfléchir à des dynamiques de désescalade énergétique sous contraintes. La survenue d’une catastrophe naturelle (tempête, cyclone, séisme, inondation, etc.), l’arrivée d’une crise politique ou l’éclatement d’un conflit géopolitique peuvent venir contrarier l’approvisionnement énergétique des territoires touchés, par une rupture des réseaux, une désorganisation des systèmes sociaux, voire la production énergétique en elle-même, dans le cas d’un arrêt des centrales de production. Certains évènements économiques, comme les chocs pétroliers des années 1970, contraignent eux aussi les équilibres énergétiques à grande échelle. La crise environnementale contemporaine et les interrogations qu’elle produit sur ce qui serait une nécessaire </w:t>
      </w:r>
      <w:r>
        <w:rPr>
          <w:rFonts w:ascii="Times New Roman" w:hAnsi="Times New Roman" w:cs="Times New Roman"/>
          <w:i/>
          <w:iCs/>
          <w:sz w:val="24"/>
          <w:szCs w:val="24"/>
        </w:rPr>
        <w:t>transition énergétique</w:t>
      </w:r>
      <w:r>
        <w:rPr>
          <w:rFonts w:ascii="Times New Roman" w:hAnsi="Times New Roman" w:cs="Times New Roman"/>
          <w:sz w:val="24"/>
          <w:szCs w:val="24"/>
        </w:rPr>
        <w:t xml:space="preserve"> dont les contours peinent à se dessiner questionnent la survie de systèmes énergétiques marqués par l’abondance et la disponibilité immédiate des ressources.</w:t>
      </w:r>
    </w:p>
    <w:p w:rsidR="006E5996" w:rsidRDefault="006E5996">
      <w:pPr>
        <w:pStyle w:val="Sansinterligne"/>
        <w:jc w:val="both"/>
        <w:rPr>
          <w:rFonts w:ascii="Times New Roman" w:hAnsi="Times New Roman" w:cs="Times New Roman"/>
          <w:sz w:val="24"/>
          <w:szCs w:val="24"/>
        </w:rPr>
      </w:pPr>
    </w:p>
    <w:p w:rsidR="006E5996" w:rsidRDefault="00000000">
      <w:pPr>
        <w:pStyle w:val="Sansinterligne"/>
        <w:jc w:val="both"/>
        <w:rPr>
          <w:rFonts w:ascii="Times New Roman" w:hAnsi="Times New Roman" w:cs="Times New Roman"/>
          <w:sz w:val="24"/>
          <w:szCs w:val="24"/>
        </w:rPr>
      </w:pPr>
      <w:r>
        <w:rPr>
          <w:rFonts w:ascii="Times New Roman" w:hAnsi="Times New Roman" w:cs="Times New Roman"/>
          <w:sz w:val="24"/>
          <w:szCs w:val="24"/>
        </w:rPr>
        <w:tab/>
        <w:t>La notion de crise est donc comprise dans ses formes aiguës, celles de l’immédiateté par exemple liée à une tempête, mais aussi dans ses formes plus structurelles et de temps long, à l’image de la crise climatique contemporaine. La combinaison entre ces formes, lorsque la crise paraît ponctuelle alors qu’elle n’est qu’un symptôme d’une crise plus large, est aussi une  ligne d’analyse pertinente pour l’approche proposée ici.</w:t>
      </w:r>
    </w:p>
    <w:p w:rsidR="006E5996" w:rsidRDefault="006E5996">
      <w:pPr>
        <w:pStyle w:val="Sansinterligne"/>
        <w:jc w:val="both"/>
        <w:rPr>
          <w:rFonts w:ascii="Times New Roman" w:hAnsi="Times New Roman" w:cs="Times New Roman"/>
          <w:sz w:val="24"/>
          <w:szCs w:val="24"/>
        </w:rPr>
      </w:pPr>
    </w:p>
    <w:p w:rsidR="006E5996" w:rsidRDefault="00000000">
      <w:pPr>
        <w:pStyle w:val="Sansinterligne"/>
        <w:jc w:val="both"/>
        <w:rPr>
          <w:rFonts w:ascii="Times New Roman" w:hAnsi="Times New Roman" w:cs="Times New Roman"/>
          <w:sz w:val="24"/>
          <w:szCs w:val="24"/>
        </w:rPr>
      </w:pPr>
      <w:r>
        <w:rPr>
          <w:rFonts w:ascii="Times New Roman" w:hAnsi="Times New Roman" w:cs="Times New Roman"/>
          <w:sz w:val="24"/>
          <w:szCs w:val="24"/>
        </w:rPr>
        <w:tab/>
        <w:t>En interrogeant les crises dans ce qu’elles ont de multidimensionnel (politique, économique, sociale, environnementale), il s’agira d’analyser la nature et les conséquences des bouleversements énergétiques qu’elles engendrent. Les crises possèdent des temporalités plus ou moins longues (une catastrophe naturelle brutale et brève, un conflit politique qui s’enlise), contraignant alors les systèmes énergétiques à plus ou moins long terme. La crise peut également s’étendre, par des mécanismes d’interdépendance, à d’autres infrastructures (eau potable, réseaux internet, chaîne du froid...). Comment, dès lors, s’adapter à l’effondrement énergétique ?</w:t>
      </w:r>
    </w:p>
    <w:p w:rsidR="006E5996" w:rsidRDefault="006E5996">
      <w:pPr>
        <w:pStyle w:val="Sansinterligne"/>
        <w:jc w:val="both"/>
        <w:rPr>
          <w:rFonts w:ascii="Times New Roman" w:hAnsi="Times New Roman" w:cs="Times New Roman"/>
          <w:sz w:val="24"/>
          <w:szCs w:val="24"/>
        </w:rPr>
      </w:pPr>
    </w:p>
    <w:p w:rsidR="006E5996" w:rsidRDefault="00000000">
      <w:pPr>
        <w:pStyle w:val="Sansinterligne"/>
        <w:jc w:val="both"/>
        <w:rPr>
          <w:rFonts w:ascii="Times New Roman" w:hAnsi="Times New Roman" w:cs="Times New Roman"/>
          <w:sz w:val="24"/>
          <w:szCs w:val="24"/>
        </w:rPr>
      </w:pPr>
      <w:r>
        <w:rPr>
          <w:rFonts w:ascii="Times New Roman" w:hAnsi="Times New Roman" w:cs="Times New Roman"/>
          <w:sz w:val="24"/>
          <w:szCs w:val="24"/>
        </w:rPr>
        <w:tab/>
        <w:t xml:space="preserve">Les crises dessinent des visages contrastés de la désescalade : la rupture des réseaux énergétiques est plus ou moins abrupte, l’ampleur des destructions plus ou moins importante, l’effondrement des systèmes énergétiques est plus ou moins marqué. Faire face à la crise </w:t>
      </w:r>
      <w:r>
        <w:rPr>
          <w:rFonts w:ascii="Times New Roman" w:hAnsi="Times New Roman" w:cs="Times New Roman"/>
          <w:sz w:val="24"/>
          <w:szCs w:val="24"/>
        </w:rPr>
        <w:lastRenderedPageBreak/>
        <w:t xml:space="preserve">implique de réfléchir aux besoins des populations et des groupes sociaux : comment articule-t-on les dynamiques de désescalade avec les besoins sociaux ? Les hiérarchies sociales font que les populations sont inégalement vulnérables face à la crise. Le recours à des solutions énergétiques d’urgence, comme la multiplication des générateurs individuels pour les groupes sociaux qui en ont les moyens dans les pays aujourd’hui en crise, ne projette pas les sociétés vers un futur sobre et décarboné. </w:t>
      </w:r>
      <w:r>
        <w:rPr>
          <w:rFonts w:ascii="Times New Roman" w:hAnsi="Times New Roman" w:cs="Times New Roman"/>
          <w:i/>
          <w:iCs/>
          <w:sz w:val="24"/>
          <w:szCs w:val="24"/>
        </w:rPr>
        <w:t>A contrario</w:t>
      </w:r>
      <w:r>
        <w:rPr>
          <w:rFonts w:ascii="Times New Roman" w:hAnsi="Times New Roman" w:cs="Times New Roman"/>
          <w:sz w:val="24"/>
          <w:szCs w:val="24"/>
        </w:rPr>
        <w:t xml:space="preserve">, la crise peut être parfois l’occasion de la formulation de discours politiques du renouveau, de la projection vers des modes de production énergétiques alternatifs, sans que ces discours ne se matérialisent nécessairement. Après la crise, des épisodes de chute démographique ou d’affaiblissement des mobilités peuvent faire évoluer durablement la production énergétique. </w:t>
      </w:r>
    </w:p>
    <w:p w:rsidR="006E5996" w:rsidRDefault="006E5996">
      <w:pPr>
        <w:pStyle w:val="Sansinterligne"/>
        <w:jc w:val="both"/>
        <w:rPr>
          <w:rFonts w:ascii="Times New Roman" w:hAnsi="Times New Roman" w:cs="Times New Roman"/>
          <w:sz w:val="24"/>
          <w:szCs w:val="24"/>
        </w:rPr>
      </w:pPr>
    </w:p>
    <w:p w:rsidR="006E5996" w:rsidRDefault="00000000">
      <w:pPr>
        <w:pStyle w:val="Sansinterligne"/>
        <w:jc w:val="both"/>
        <w:rPr>
          <w:rFonts w:ascii="Times New Roman" w:hAnsi="Times New Roman" w:cs="Times New Roman"/>
          <w:sz w:val="24"/>
          <w:szCs w:val="24"/>
        </w:rPr>
      </w:pPr>
      <w:r>
        <w:rPr>
          <w:rFonts w:ascii="Times New Roman" w:hAnsi="Times New Roman" w:cs="Times New Roman"/>
          <w:sz w:val="24"/>
          <w:szCs w:val="24"/>
        </w:rPr>
        <w:tab/>
        <w:t>Après la survenue de la crise et la gestion immédiate des urgences, vient se poser la question de savoir comment s’ancre dans le temps long la dynamique de recomposition énergétique. S’agit-il ou non de dépasser une désescalade qui serait uniquement pensée comme réactive par rapport à la crise ? Un discours de planification énergétique émerge-t-il dans le temps du post-crise ? Comment s’amorce éventuellement une dynamique de désescalade choisie, avec des effets durables sur la demande énergétique ? Au contraire, après la crise, le désir des populations peut être celui, légitime, de revenir aux standards de consommation énergétique antérieurs, questionnant ainsi l’appropriation sociale de l’idée même de désescalade énergétique et l’ancrage de dynamiques de changements des besoins. Les crises font-elles émerger des nouveaux standards de confort énergétique ? Dans quelle mesure redéfinissent-elles la notion de précarité énergétique ?</w:t>
      </w:r>
    </w:p>
    <w:p w:rsidR="006E5996" w:rsidRDefault="00000000">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w:t>
      </w:r>
    </w:p>
    <w:p w:rsidR="006E5996" w:rsidRDefault="00000000">
      <w:pPr>
        <w:pStyle w:val="Sansinterligne"/>
        <w:jc w:val="both"/>
        <w:rPr>
          <w:rFonts w:ascii="Times New Roman" w:hAnsi="Times New Roman" w:cs="Times New Roman"/>
          <w:sz w:val="24"/>
          <w:szCs w:val="24"/>
        </w:rPr>
      </w:pPr>
      <w:r>
        <w:rPr>
          <w:rFonts w:ascii="Times New Roman" w:hAnsi="Times New Roman" w:cs="Times New Roman"/>
          <w:sz w:val="24"/>
          <w:szCs w:val="24"/>
        </w:rPr>
        <w:tab/>
        <w:t xml:space="preserve">Les réseaux énergétiques pourront également être questionnés. Comment les crises contraignent-elles les réseaux ? Comment gérer leur remise en fonctionnement progressive et avec quelles contraintes ? Sur quels acteurs repose la remise en état des réseaux et avec quelles difficultés ?  La crise est-elle l’occasion de revenir sur la centralisation des réseaux et de promouvoir des formes décentralisées de réseaux ? Ou, au contraire, d’accentuer la centralisation ? Sera alors questionné le lien entre évolution de la demande énergétique en temps de crise et réflexion sur le dimensionnement des réseaux. </w:t>
      </w:r>
    </w:p>
    <w:p w:rsidR="006E5996" w:rsidRDefault="006E5996">
      <w:pPr>
        <w:pStyle w:val="Sansinterligne"/>
        <w:jc w:val="both"/>
        <w:rPr>
          <w:rFonts w:ascii="Times New Roman" w:hAnsi="Times New Roman" w:cs="Times New Roman"/>
          <w:sz w:val="24"/>
          <w:szCs w:val="24"/>
        </w:rPr>
      </w:pPr>
    </w:p>
    <w:p w:rsidR="006E5996" w:rsidRDefault="00000000">
      <w:pPr>
        <w:pStyle w:val="Sansinterligne"/>
        <w:jc w:val="both"/>
        <w:rPr>
          <w:rFonts w:ascii="Times New Roman" w:hAnsi="Times New Roman" w:cs="Times New Roman"/>
          <w:sz w:val="24"/>
          <w:szCs w:val="24"/>
        </w:rPr>
      </w:pPr>
      <w:r>
        <w:rPr>
          <w:rFonts w:ascii="Times New Roman" w:hAnsi="Times New Roman" w:cs="Times New Roman"/>
          <w:sz w:val="24"/>
          <w:szCs w:val="24"/>
        </w:rPr>
        <w:tab/>
        <w:t>Les articles proposés pourront emprunter aux différentes disciplines des sciences humaines et sociales. Le recours à la géographie, par exemple, pourra permettre de questionner les dynamiques territoriales de la désescalade énergétique face aux crises et catastrophes. D’autres approches, en sociologie, urbanisme ou science politique, par exemple, pourront également éclairer la thématique de ce dossier. Si l’approche historienne n’est pas la seule sollicitée par cet appel, la revue encourage l’ensemble des répondants à inscrire leur réflexion dans le temps, en interrogeant les continuités, changements et mutations à plus ou moins long terme. L’appel à communications est ouvert à tout contexte territorial, sans restriction au cadre français ou occidental.</w:t>
      </w:r>
    </w:p>
    <w:p w:rsidR="006E5996" w:rsidRDefault="006E5996">
      <w:pPr>
        <w:pStyle w:val="Sansinterligne"/>
        <w:jc w:val="both"/>
        <w:rPr>
          <w:rFonts w:ascii="Times New Roman" w:hAnsi="Times New Roman" w:cs="Times New Roman"/>
          <w:sz w:val="24"/>
          <w:szCs w:val="24"/>
        </w:rPr>
      </w:pPr>
    </w:p>
    <w:p w:rsidR="006E5996" w:rsidRDefault="006E5996">
      <w:pPr>
        <w:pStyle w:val="Sansinterligne"/>
        <w:jc w:val="both"/>
        <w:rPr>
          <w:rFonts w:ascii="Times New Roman" w:hAnsi="Times New Roman" w:cs="Times New Roman"/>
          <w:sz w:val="24"/>
          <w:szCs w:val="24"/>
        </w:rPr>
      </w:pPr>
    </w:p>
    <w:p w:rsidR="006E5996" w:rsidRDefault="00000000">
      <w:pPr>
        <w:pStyle w:val="Sansinterligne"/>
        <w:jc w:val="both"/>
        <w:rPr>
          <w:rFonts w:ascii="Times New Roman" w:hAnsi="Times New Roman" w:cs="Times New Roman"/>
          <w:sz w:val="24"/>
          <w:szCs w:val="24"/>
        </w:rPr>
      </w:pPr>
      <w:r>
        <w:rPr>
          <w:rFonts w:ascii="Times New Roman" w:hAnsi="Times New Roman" w:cs="Times New Roman"/>
          <w:sz w:val="24"/>
          <w:szCs w:val="24"/>
        </w:rPr>
        <w:tab/>
        <w:t xml:space="preserve">Les articles pourront également questionner des enjeux plus méthodologiques, notamment sur l’accès aux sources statistiques en temps de crise. Comment réaliser des bilans énergétiques fiables ?  Peut-on avoir une idée chiffrée du processus de désescalade, lorsque les sources statistiques nationales sont déficientes, lorsque des échanges informels et des </w:t>
      </w:r>
      <w:r>
        <w:rPr>
          <w:rFonts w:ascii="Times New Roman" w:hAnsi="Times New Roman" w:cs="Times New Roman"/>
          <w:color w:val="000000"/>
          <w:sz w:val="24"/>
          <w:szCs w:val="24"/>
        </w:rPr>
        <w:t>mouvements de contrebande se structurent pour pallier la crise énergétique ? Quel accès aux sources et terrains a-t-on pour observer le plus directement possible la désescalade, dans un contexte social complexifié par la crise ?</w:t>
      </w:r>
    </w:p>
    <w:p w:rsidR="006E5996" w:rsidRDefault="006E5996">
      <w:pPr>
        <w:pStyle w:val="Sansinterligne"/>
        <w:jc w:val="both"/>
        <w:rPr>
          <w:rFonts w:ascii="Times New Roman" w:hAnsi="Times New Roman" w:cs="Times New Roman"/>
          <w:color w:val="000000"/>
          <w:sz w:val="24"/>
          <w:szCs w:val="24"/>
        </w:rPr>
      </w:pPr>
    </w:p>
    <w:p w:rsidR="006E5996" w:rsidRDefault="00000000">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 xml:space="preserve">Le sujet que porte ce dossier s’inspire de la conférence organisée en juillet 2023, regroupant plusieurs chercheurs et chercheuses provenant de différents champs disciplinaires et horizons pour questionner la </w:t>
      </w:r>
      <w:r>
        <w:rPr>
          <w:rFonts w:ascii="Times New Roman" w:hAnsi="Times New Roman" w:cs="Times New Roman"/>
          <w:i/>
          <w:color w:val="000000"/>
          <w:sz w:val="24"/>
          <w:szCs w:val="24"/>
        </w:rPr>
        <w:t>désescalade énergétique</w:t>
      </w:r>
      <w:r>
        <w:rPr>
          <w:rFonts w:ascii="Times New Roman" w:hAnsi="Times New Roman" w:cs="Times New Roman"/>
          <w:color w:val="000000"/>
          <w:sz w:val="24"/>
          <w:szCs w:val="24"/>
        </w:rPr>
        <w:t>. Un podcast résumant les différentes contributions de la journée est accessible en ligne</w:t>
      </w:r>
      <w:r>
        <w:rPr>
          <w:rStyle w:val="Ancredenotedebasdepage"/>
          <w:rFonts w:ascii="Times New Roman" w:hAnsi="Times New Roman" w:cs="Times New Roman"/>
          <w:color w:val="000000"/>
          <w:sz w:val="24"/>
          <w:szCs w:val="24"/>
        </w:rPr>
        <w:footnoteReference w:id="1"/>
      </w:r>
      <w:r>
        <w:rPr>
          <w:rFonts w:ascii="Times New Roman" w:hAnsi="Times New Roman" w:cs="Times New Roman"/>
          <w:color w:val="000000"/>
          <w:sz w:val="24"/>
          <w:szCs w:val="24"/>
        </w:rPr>
        <w:t>.</w:t>
      </w:r>
    </w:p>
    <w:p w:rsidR="00FB203B" w:rsidRDefault="00FB203B">
      <w:pPr>
        <w:spacing w:line="240" w:lineRule="auto"/>
        <w:jc w:val="both"/>
        <w:rPr>
          <w:rFonts w:ascii="Times New Roman" w:hAnsi="Times New Roman" w:cs="Times New Roman"/>
          <w:color w:val="000000"/>
          <w:sz w:val="24"/>
          <w:szCs w:val="24"/>
        </w:rPr>
      </w:pPr>
    </w:p>
    <w:p w:rsidR="00FB203B" w:rsidRDefault="00FB203B" w:rsidP="00FB203B">
      <w:pPr>
        <w:pStyle w:val="Sansinterligne"/>
        <w:rPr>
          <w:rFonts w:ascii="Times New Roman" w:hAnsi="Times New Roman" w:cs="Times New Roman"/>
          <w:b/>
          <w:bCs/>
          <w:sz w:val="24"/>
          <w:szCs w:val="24"/>
        </w:rPr>
      </w:pPr>
      <w:r>
        <w:rPr>
          <w:rFonts w:ascii="Times New Roman" w:hAnsi="Times New Roman" w:cs="Times New Roman"/>
          <w:b/>
          <w:bCs/>
          <w:sz w:val="24"/>
          <w:szCs w:val="24"/>
        </w:rPr>
        <w:t>Coordination du numéro</w:t>
      </w:r>
    </w:p>
    <w:p w:rsidR="00FB203B" w:rsidRDefault="00FB203B" w:rsidP="00FB203B">
      <w:pPr>
        <w:pStyle w:val="Sansinterligne"/>
        <w:numPr>
          <w:ilvl w:val="0"/>
          <w:numId w:val="1"/>
        </w:numPr>
      </w:pPr>
      <w:proofErr w:type="spellStart"/>
      <w:r>
        <w:rPr>
          <w:rFonts w:ascii="Times New Roman" w:hAnsi="Times New Roman" w:cs="Times New Roman"/>
          <w:sz w:val="24"/>
          <w:szCs w:val="24"/>
        </w:rPr>
        <w:t>Annaig</w:t>
      </w:r>
      <w:proofErr w:type="spellEnd"/>
      <w:r>
        <w:rPr>
          <w:rFonts w:ascii="Times New Roman" w:hAnsi="Times New Roman" w:cs="Times New Roman"/>
          <w:sz w:val="24"/>
          <w:szCs w:val="24"/>
        </w:rPr>
        <w:t xml:space="preserve"> Oiry (UGE, ACP) : annaig.oiry@univ-eiffel.fr</w:t>
      </w:r>
    </w:p>
    <w:p w:rsidR="00FB203B" w:rsidRDefault="00FB203B" w:rsidP="00FB203B">
      <w:pPr>
        <w:pStyle w:val="Sansinterligne"/>
        <w:numPr>
          <w:ilvl w:val="0"/>
          <w:numId w:val="1"/>
        </w:numPr>
      </w:pPr>
      <w:r>
        <w:rPr>
          <w:rFonts w:ascii="Times New Roman" w:hAnsi="Times New Roman" w:cs="Times New Roman"/>
          <w:sz w:val="24"/>
          <w:szCs w:val="24"/>
        </w:rPr>
        <w:t xml:space="preserve">Arnaud </w:t>
      </w:r>
      <w:proofErr w:type="spellStart"/>
      <w:r>
        <w:rPr>
          <w:rFonts w:ascii="Times New Roman" w:hAnsi="Times New Roman" w:cs="Times New Roman"/>
          <w:sz w:val="24"/>
          <w:szCs w:val="24"/>
        </w:rPr>
        <w:t>Passalacqua</w:t>
      </w:r>
      <w:proofErr w:type="spellEnd"/>
      <w:r>
        <w:rPr>
          <w:rFonts w:ascii="Times New Roman" w:hAnsi="Times New Roman" w:cs="Times New Roman"/>
          <w:sz w:val="24"/>
          <w:szCs w:val="24"/>
        </w:rPr>
        <w:t xml:space="preserve"> (UPEC, </w:t>
      </w:r>
      <w:proofErr w:type="spellStart"/>
      <w:r>
        <w:rPr>
          <w:rFonts w:ascii="Times New Roman" w:hAnsi="Times New Roman" w:cs="Times New Roman"/>
          <w:sz w:val="24"/>
          <w:szCs w:val="24"/>
        </w:rPr>
        <w:t>Lab’Urba</w:t>
      </w:r>
      <w:proofErr w:type="spellEnd"/>
      <w:r>
        <w:rPr>
          <w:rFonts w:ascii="Times New Roman" w:hAnsi="Times New Roman" w:cs="Times New Roman"/>
          <w:sz w:val="24"/>
          <w:szCs w:val="24"/>
        </w:rPr>
        <w:t>/LIED) : arnaud.passalacqua@m4x.org</w:t>
      </w:r>
    </w:p>
    <w:p w:rsidR="00FB203B" w:rsidRDefault="00FB203B" w:rsidP="00FB203B">
      <w:pPr>
        <w:pStyle w:val="Sansinterligne"/>
        <w:numPr>
          <w:ilvl w:val="0"/>
          <w:numId w:val="1"/>
        </w:numPr>
        <w:rPr>
          <w:lang w:val="it-IT"/>
        </w:rPr>
      </w:pPr>
      <w:r>
        <w:rPr>
          <w:rFonts w:ascii="Times New Roman" w:hAnsi="Times New Roman" w:cs="Times New Roman"/>
          <w:sz w:val="24"/>
          <w:szCs w:val="24"/>
          <w:lang w:val="it-IT"/>
        </w:rPr>
        <w:t>Roberta Pistoni (ENSPV, LAREP) : r.pistoni@ecole-paysage.fr</w:t>
      </w:r>
    </w:p>
    <w:p w:rsidR="00FB203B" w:rsidRDefault="00FB203B" w:rsidP="00FB203B">
      <w:pPr>
        <w:pStyle w:val="Sansinterligne"/>
        <w:rPr>
          <w:rFonts w:ascii="Times New Roman" w:hAnsi="Times New Roman" w:cs="Times New Roman"/>
          <w:sz w:val="24"/>
          <w:szCs w:val="24"/>
          <w:lang w:val="it-IT"/>
        </w:rPr>
      </w:pPr>
    </w:p>
    <w:p w:rsidR="00FB203B" w:rsidRDefault="00FB203B" w:rsidP="00FB203B">
      <w:pPr>
        <w:pStyle w:val="Sansinterligne"/>
        <w:rPr>
          <w:rFonts w:ascii="Times New Roman" w:hAnsi="Times New Roman" w:cs="Times New Roman"/>
          <w:b/>
          <w:bCs/>
          <w:sz w:val="24"/>
          <w:szCs w:val="24"/>
        </w:rPr>
      </w:pPr>
      <w:r>
        <w:rPr>
          <w:rFonts w:ascii="Times New Roman" w:hAnsi="Times New Roman" w:cs="Times New Roman"/>
          <w:b/>
          <w:bCs/>
          <w:sz w:val="24"/>
          <w:szCs w:val="24"/>
        </w:rPr>
        <w:t>Calendrier prévisionnel</w:t>
      </w:r>
    </w:p>
    <w:p w:rsidR="00FB203B" w:rsidRDefault="00FB203B" w:rsidP="00FB203B">
      <w:pPr>
        <w:pStyle w:val="Sansinterligne"/>
        <w:numPr>
          <w:ilvl w:val="0"/>
          <w:numId w:val="2"/>
        </w:numPr>
      </w:pPr>
      <w:r>
        <w:rPr>
          <w:rFonts w:ascii="Times New Roman" w:hAnsi="Times New Roman" w:cs="Times New Roman"/>
          <w:sz w:val="24"/>
          <w:szCs w:val="24"/>
        </w:rPr>
        <w:t>envoi des résumés (1 page) pour le 1</w:t>
      </w:r>
      <w:r>
        <w:rPr>
          <w:rFonts w:ascii="Times New Roman" w:hAnsi="Times New Roman" w:cs="Times New Roman"/>
          <w:sz w:val="24"/>
          <w:szCs w:val="24"/>
          <w:vertAlign w:val="superscript"/>
        </w:rPr>
        <w:t>er</w:t>
      </w:r>
      <w:r>
        <w:rPr>
          <w:rFonts w:ascii="Times New Roman" w:hAnsi="Times New Roman" w:cs="Times New Roman"/>
          <w:sz w:val="24"/>
          <w:szCs w:val="24"/>
        </w:rPr>
        <w:t xml:space="preserve"> mars 2024</w:t>
      </w:r>
    </w:p>
    <w:p w:rsidR="00FB203B" w:rsidRDefault="00FB203B" w:rsidP="00FB203B">
      <w:pPr>
        <w:pStyle w:val="Sansinterligne"/>
        <w:numPr>
          <w:ilvl w:val="0"/>
          <w:numId w:val="2"/>
        </w:numPr>
      </w:pPr>
      <w:r>
        <w:rPr>
          <w:rFonts w:ascii="Times New Roman" w:hAnsi="Times New Roman" w:cs="Times New Roman"/>
          <w:sz w:val="24"/>
          <w:szCs w:val="24"/>
        </w:rPr>
        <w:t>choix des articles pour le 15 mars 2024</w:t>
      </w:r>
    </w:p>
    <w:p w:rsidR="00FB203B" w:rsidRDefault="00FB203B" w:rsidP="00FB203B">
      <w:pPr>
        <w:pStyle w:val="Sansinterligne"/>
        <w:numPr>
          <w:ilvl w:val="0"/>
          <w:numId w:val="2"/>
        </w:numPr>
      </w:pPr>
      <w:r>
        <w:rPr>
          <w:rFonts w:ascii="Times New Roman" w:hAnsi="Times New Roman" w:cs="Times New Roman"/>
          <w:sz w:val="24"/>
          <w:szCs w:val="24"/>
        </w:rPr>
        <w:t>envoi des versions initiales des articles pour le 1</w:t>
      </w:r>
      <w:r>
        <w:rPr>
          <w:rFonts w:ascii="Times New Roman" w:hAnsi="Times New Roman" w:cs="Times New Roman"/>
          <w:sz w:val="24"/>
          <w:szCs w:val="24"/>
          <w:vertAlign w:val="superscript"/>
        </w:rPr>
        <w:t>er</w:t>
      </w:r>
      <w:r>
        <w:rPr>
          <w:rFonts w:ascii="Times New Roman" w:hAnsi="Times New Roman" w:cs="Times New Roman"/>
          <w:sz w:val="24"/>
          <w:szCs w:val="24"/>
        </w:rPr>
        <w:t xml:space="preserve"> juin 2024</w:t>
      </w:r>
    </w:p>
    <w:p w:rsidR="00FB203B" w:rsidRDefault="00FB203B" w:rsidP="00FB203B">
      <w:pPr>
        <w:pStyle w:val="Sansinterligne"/>
        <w:numPr>
          <w:ilvl w:val="0"/>
          <w:numId w:val="2"/>
        </w:numPr>
      </w:pPr>
      <w:r>
        <w:rPr>
          <w:rFonts w:ascii="Times New Roman" w:hAnsi="Times New Roman" w:cs="Times New Roman"/>
          <w:sz w:val="24"/>
          <w:szCs w:val="24"/>
        </w:rPr>
        <w:t>publication au 1</w:t>
      </w:r>
      <w:r>
        <w:rPr>
          <w:rFonts w:ascii="Times New Roman" w:hAnsi="Times New Roman" w:cs="Times New Roman"/>
          <w:sz w:val="24"/>
          <w:szCs w:val="24"/>
          <w:vertAlign w:val="superscript"/>
        </w:rPr>
        <w:t>er</w:t>
      </w:r>
      <w:r>
        <w:rPr>
          <w:rFonts w:ascii="Times New Roman" w:hAnsi="Times New Roman" w:cs="Times New Roman"/>
          <w:sz w:val="24"/>
          <w:szCs w:val="24"/>
        </w:rPr>
        <w:t xml:space="preserve"> décembre 2024</w:t>
      </w:r>
    </w:p>
    <w:p w:rsidR="00FB203B" w:rsidRDefault="00FB203B">
      <w:pPr>
        <w:spacing w:line="240" w:lineRule="auto"/>
        <w:jc w:val="both"/>
        <w:rPr>
          <w:color w:val="000000"/>
        </w:rPr>
      </w:pPr>
    </w:p>
    <w:sectPr w:rsidR="00FB203B">
      <w:pgSz w:w="11906" w:h="16838"/>
      <w:pgMar w:top="1417" w:right="1417" w:bottom="1417" w:left="1417"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0212" w:rsidRDefault="00630212">
      <w:pPr>
        <w:spacing w:after="0" w:line="240" w:lineRule="auto"/>
      </w:pPr>
      <w:r>
        <w:separator/>
      </w:r>
    </w:p>
  </w:endnote>
  <w:endnote w:type="continuationSeparator" w:id="0">
    <w:p w:rsidR="00630212" w:rsidRDefault="00630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variable"/>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ohit Devanaga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0212" w:rsidRDefault="00630212">
      <w:pPr>
        <w:rPr>
          <w:sz w:val="12"/>
        </w:rPr>
      </w:pPr>
      <w:r>
        <w:separator/>
      </w:r>
    </w:p>
  </w:footnote>
  <w:footnote w:type="continuationSeparator" w:id="0">
    <w:p w:rsidR="00630212" w:rsidRDefault="00630212">
      <w:pPr>
        <w:rPr>
          <w:sz w:val="12"/>
        </w:rPr>
      </w:pPr>
      <w:r>
        <w:continuationSeparator/>
      </w:r>
    </w:p>
  </w:footnote>
  <w:footnote w:id="1">
    <w:p w:rsidR="006E5996" w:rsidRDefault="00000000">
      <w:pPr>
        <w:pStyle w:val="Notedebasdepage"/>
      </w:pPr>
      <w:r>
        <w:rPr>
          <w:rStyle w:val="Caractresdenotedebasdepage"/>
        </w:rPr>
        <w:footnoteRef/>
      </w:r>
      <w:r>
        <w:t xml:space="preserve"> </w:t>
      </w:r>
      <w:hyperlink r:id="rId1">
        <w:r>
          <w:rPr>
            <w:rStyle w:val="LienInternet"/>
          </w:rPr>
          <w:t>https://www.pca-stream.com/fr/player/desescalade-energetique-178?utm_source=STREAM+VOICES&amp;utm_campaign=78156d3629-EMAIL_CAMPAIGN_2023_12_15_02_30&amp;utm_medium=email&amp;utm_term=0_-78156d3629-%5BLIST_EMAIL_ID%5D&amp;mc_cid=78156d3629&amp;mc_eid=a4e44061a6</w:t>
        </w:r>
      </w:hyperlink>
    </w:p>
    <w:p w:rsidR="006E5996" w:rsidRDefault="006E5996">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0737"/>
    <w:multiLevelType w:val="multilevel"/>
    <w:tmpl w:val="EB7C73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3FA2C87"/>
    <w:multiLevelType w:val="multilevel"/>
    <w:tmpl w:val="CF940A0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C4C7B0E"/>
    <w:multiLevelType w:val="multilevel"/>
    <w:tmpl w:val="48846B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246574801">
    <w:abstractNumId w:val="2"/>
  </w:num>
  <w:num w:numId="2" w16cid:durableId="958687195">
    <w:abstractNumId w:val="1"/>
  </w:num>
  <w:num w:numId="3" w16cid:durableId="1281062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996"/>
    <w:rsid w:val="00630212"/>
    <w:rsid w:val="006E5996"/>
    <w:rsid w:val="00FB203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71E857D"/>
  <w15:docId w15:val="{F52F50A8-43FE-3E41-8363-F271B606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
    <w:name w:val="il"/>
    <w:basedOn w:val="Policepardfaut"/>
    <w:qFormat/>
    <w:rsid w:val="001F210A"/>
  </w:style>
  <w:style w:type="character" w:styleId="Marquedecommentaire">
    <w:name w:val="annotation reference"/>
    <w:basedOn w:val="Policepardfaut"/>
    <w:uiPriority w:val="99"/>
    <w:semiHidden/>
    <w:unhideWhenUsed/>
    <w:qFormat/>
    <w:rsid w:val="00B75A44"/>
    <w:rPr>
      <w:sz w:val="16"/>
      <w:szCs w:val="16"/>
    </w:rPr>
  </w:style>
  <w:style w:type="character" w:customStyle="1" w:styleId="CommentaireCar">
    <w:name w:val="Commentaire Car"/>
    <w:basedOn w:val="Policepardfaut"/>
    <w:link w:val="Commentaire"/>
    <w:uiPriority w:val="99"/>
    <w:qFormat/>
    <w:rsid w:val="00B75A44"/>
    <w:rPr>
      <w:sz w:val="20"/>
      <w:szCs w:val="20"/>
    </w:rPr>
  </w:style>
  <w:style w:type="character" w:customStyle="1" w:styleId="ObjetducommentaireCar">
    <w:name w:val="Objet du commentaire Car"/>
    <w:basedOn w:val="CommentaireCar"/>
    <w:link w:val="Objetducommentaire"/>
    <w:uiPriority w:val="99"/>
    <w:semiHidden/>
    <w:qFormat/>
    <w:rsid w:val="00B75A44"/>
    <w:rPr>
      <w:b/>
      <w:bCs/>
      <w:sz w:val="20"/>
      <w:szCs w:val="20"/>
    </w:rPr>
  </w:style>
  <w:style w:type="character" w:customStyle="1" w:styleId="Puces">
    <w:name w:val="Puces"/>
    <w:qFormat/>
    <w:rPr>
      <w:rFonts w:ascii="OpenSymbol" w:eastAsia="OpenSymbol" w:hAnsi="OpenSymbol" w:cs="OpenSymbol"/>
    </w:rPr>
  </w:style>
  <w:style w:type="character" w:customStyle="1" w:styleId="TextedebullesCar">
    <w:name w:val="Texte de bulles Car"/>
    <w:basedOn w:val="Policepardfaut"/>
    <w:link w:val="Textedebulles"/>
    <w:uiPriority w:val="99"/>
    <w:semiHidden/>
    <w:qFormat/>
    <w:rsid w:val="00195FBA"/>
    <w:rPr>
      <w:rFonts w:ascii="Segoe UI" w:hAnsi="Segoe UI" w:cs="Segoe UI"/>
      <w:sz w:val="18"/>
      <w:szCs w:val="18"/>
    </w:rPr>
  </w:style>
  <w:style w:type="character" w:customStyle="1" w:styleId="En-tteCar">
    <w:name w:val="En-tête Car"/>
    <w:basedOn w:val="Policepardfaut"/>
    <w:link w:val="En-tte"/>
    <w:uiPriority w:val="99"/>
    <w:qFormat/>
    <w:rsid w:val="007E5BCB"/>
  </w:style>
  <w:style w:type="character" w:customStyle="1" w:styleId="PieddepageCar">
    <w:name w:val="Pied de page Car"/>
    <w:basedOn w:val="Policepardfaut"/>
    <w:link w:val="Pieddepage"/>
    <w:uiPriority w:val="99"/>
    <w:qFormat/>
    <w:rsid w:val="007E5BCB"/>
  </w:style>
  <w:style w:type="character" w:customStyle="1" w:styleId="LienInternet">
    <w:name w:val="Lien Internet"/>
    <w:basedOn w:val="Policepardfaut"/>
    <w:uiPriority w:val="99"/>
    <w:unhideWhenUsed/>
    <w:rsid w:val="007E5BCB"/>
    <w:rPr>
      <w:color w:val="0563C1" w:themeColor="hyperlink"/>
      <w:u w:val="single"/>
    </w:rPr>
  </w:style>
  <w:style w:type="character" w:customStyle="1" w:styleId="LienInternetvisit">
    <w:name w:val="Lien Internet visité"/>
    <w:basedOn w:val="Policepardfaut"/>
    <w:uiPriority w:val="99"/>
    <w:semiHidden/>
    <w:unhideWhenUsed/>
    <w:rsid w:val="0078005E"/>
    <w:rPr>
      <w:color w:val="954F72" w:themeColor="followedHyperlink"/>
      <w:u w:val="single"/>
    </w:rPr>
  </w:style>
  <w:style w:type="character" w:customStyle="1" w:styleId="NotedebasdepageCar">
    <w:name w:val="Note de bas de page Car"/>
    <w:basedOn w:val="Policepardfaut"/>
    <w:link w:val="Notedebasdepage"/>
    <w:uiPriority w:val="99"/>
    <w:semiHidden/>
    <w:qFormat/>
    <w:rsid w:val="0078005E"/>
    <w:rPr>
      <w:sz w:val="20"/>
      <w:szCs w:val="20"/>
    </w:rPr>
  </w:style>
  <w:style w:type="character" w:customStyle="1" w:styleId="Caractresdenotedebasdepage">
    <w:name w:val="Caractères de note de bas de page"/>
    <w:basedOn w:val="Policepardfaut"/>
    <w:uiPriority w:val="99"/>
    <w:semiHidden/>
    <w:unhideWhenUsed/>
    <w:qFormat/>
    <w:rsid w:val="0078005E"/>
    <w:rPr>
      <w:vertAlign w:val="superscript"/>
    </w:rPr>
  </w:style>
  <w:style w:type="character" w:customStyle="1" w:styleId="Ancredenotedebasdepage">
    <w:name w:val="Ancre de note de bas de page"/>
    <w:rPr>
      <w:vertAlign w:val="superscript"/>
    </w:rPr>
  </w:style>
  <w:style w:type="character" w:customStyle="1" w:styleId="Numrotationdelignes">
    <w:name w:val="Numérotation de lignes"/>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Titre1">
    <w:name w:val="Titre1"/>
    <w:basedOn w:val="Normal"/>
    <w:next w:val="Corpsdetexte"/>
    <w:qFormat/>
    <w:pPr>
      <w:keepNext/>
      <w:spacing w:before="240" w:after="120"/>
    </w:pPr>
    <w:rPr>
      <w:rFonts w:ascii="Liberation Sans" w:eastAsia="Noto Sans CJK SC" w:hAnsi="Liberation Sans" w:cs="Lohit Devanagari"/>
      <w:sz w:val="28"/>
      <w:szCs w:val="28"/>
    </w:rPr>
  </w:style>
  <w:style w:type="paragraph" w:styleId="Sansinterligne">
    <w:name w:val="No Spacing"/>
    <w:uiPriority w:val="1"/>
    <w:qFormat/>
    <w:rsid w:val="001F210A"/>
  </w:style>
  <w:style w:type="paragraph" w:styleId="Commentaire">
    <w:name w:val="annotation text"/>
    <w:basedOn w:val="Normal"/>
    <w:link w:val="CommentaireCar"/>
    <w:uiPriority w:val="99"/>
    <w:unhideWhenUsed/>
    <w:qFormat/>
    <w:rsid w:val="00B75A44"/>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B75A44"/>
    <w:rPr>
      <w:b/>
      <w:bCs/>
    </w:rPr>
  </w:style>
  <w:style w:type="paragraph" w:styleId="Rvision">
    <w:name w:val="Revision"/>
    <w:uiPriority w:val="99"/>
    <w:semiHidden/>
    <w:qFormat/>
    <w:rsid w:val="00634CBE"/>
    <w:pPr>
      <w:suppressAutoHyphens w:val="0"/>
    </w:pPr>
  </w:style>
  <w:style w:type="paragraph" w:styleId="Textedebulles">
    <w:name w:val="Balloon Text"/>
    <w:basedOn w:val="Normal"/>
    <w:link w:val="TextedebullesCar"/>
    <w:uiPriority w:val="99"/>
    <w:semiHidden/>
    <w:unhideWhenUsed/>
    <w:qFormat/>
    <w:rsid w:val="00195FBA"/>
    <w:pPr>
      <w:spacing w:after="0" w:line="240" w:lineRule="auto"/>
    </w:pPr>
    <w:rPr>
      <w:rFonts w:ascii="Segoe UI" w:hAnsi="Segoe UI" w:cs="Segoe UI"/>
      <w:sz w:val="18"/>
      <w:szCs w:val="18"/>
    </w:rPr>
  </w:style>
  <w:style w:type="paragraph" w:customStyle="1" w:styleId="En-tteetpieddepage">
    <w:name w:val="En-tête et pied de page"/>
    <w:basedOn w:val="Normal"/>
    <w:qFormat/>
  </w:style>
  <w:style w:type="paragraph" w:styleId="En-tte">
    <w:name w:val="header"/>
    <w:basedOn w:val="Normal"/>
    <w:link w:val="En-tteCar"/>
    <w:uiPriority w:val="99"/>
    <w:unhideWhenUsed/>
    <w:rsid w:val="007E5BCB"/>
    <w:pPr>
      <w:tabs>
        <w:tab w:val="center" w:pos="4819"/>
        <w:tab w:val="right" w:pos="9638"/>
      </w:tabs>
      <w:spacing w:after="0" w:line="240" w:lineRule="auto"/>
    </w:pPr>
  </w:style>
  <w:style w:type="paragraph" w:styleId="Pieddepage">
    <w:name w:val="footer"/>
    <w:basedOn w:val="Normal"/>
    <w:link w:val="PieddepageCar"/>
    <w:uiPriority w:val="99"/>
    <w:unhideWhenUsed/>
    <w:rsid w:val="007E5BCB"/>
    <w:pPr>
      <w:tabs>
        <w:tab w:val="center" w:pos="4819"/>
        <w:tab w:val="right" w:pos="9638"/>
      </w:tabs>
      <w:spacing w:after="0" w:line="240" w:lineRule="auto"/>
    </w:pPr>
  </w:style>
  <w:style w:type="paragraph" w:styleId="Notedebasdepage">
    <w:name w:val="footnote text"/>
    <w:basedOn w:val="Normal"/>
    <w:link w:val="NotedebasdepageCar"/>
    <w:uiPriority w:val="99"/>
    <w:semiHidden/>
    <w:unhideWhenUsed/>
    <w:rsid w:val="0078005E"/>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ca-stream.com/fr/player/desescalade-energetique-178?utm_source=STREAM+VOICES&amp;utm_campaign=78156d3629-EMAIL_CAMPAIGN_2023_12_15_02_30&amp;utm_medium=email&amp;utm_term=0_-78156d3629-%5BLIST_EMAIL_ID%5D&amp;mc_cid=78156d3629&amp;mc_eid=a4e44061a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98467-3707-4BCB-BD0E-96493FF9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1271</Words>
  <Characters>6762</Characters>
  <Application>Microsoft Office Word</Application>
  <DocSecurity>0</DocSecurity>
  <Lines>109</Lines>
  <Paragraphs>22</Paragraphs>
  <ScaleCrop>false</ScaleCrop>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évaluateur</dc:creator>
  <dc:description/>
  <cp:lastModifiedBy>Utilisateur Microsoft Office</cp:lastModifiedBy>
  <cp:revision>13</cp:revision>
  <dcterms:created xsi:type="dcterms:W3CDTF">2023-12-20T10:58:00Z</dcterms:created>
  <dcterms:modified xsi:type="dcterms:W3CDTF">2024-01-17T16:47:00Z</dcterms:modified>
  <dc:language>fr-FR</dc:language>
</cp:coreProperties>
</file>